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line="360" w:lineRule="auto"/>
        <w:jc w:val="center"/>
        <w:rPr>
          <w:rFonts w:ascii="方正小标宋简体" w:eastAsia="方正小标宋简体"/>
          <w:b w:val="0"/>
          <w:bCs w:val="0"/>
          <w:sz w:val="40"/>
          <w:szCs w:val="40"/>
        </w:rPr>
      </w:pPr>
      <w:r>
        <w:rPr>
          <w:rFonts w:hint="eastAsia" w:ascii="方正小标宋简体" w:eastAsia="方正小标宋简体"/>
          <w:b w:val="0"/>
          <w:bCs w:val="0"/>
          <w:sz w:val="40"/>
          <w:szCs w:val="40"/>
        </w:rPr>
        <w:t>华南农综合测评操作手册-学生</w:t>
      </w:r>
    </w:p>
    <w:p>
      <w:pPr>
        <w:pStyle w:val="3"/>
        <w:numPr>
          <w:ilvl w:val="0"/>
          <w:numId w:val="1"/>
        </w:numPr>
        <w:adjustRightInd w:val="0"/>
        <w:snapToGrid w:val="0"/>
        <w:spacing w:before="0" w:after="0" w:line="600" w:lineRule="exact"/>
        <w:rPr>
          <w:rFonts w:hint="eastAsia" w:ascii="黑体" w:hAnsi="黑体" w:eastAsia="黑体"/>
        </w:rPr>
      </w:pPr>
      <w:r>
        <w:rPr>
          <w:rFonts w:hint="eastAsia" w:ascii="黑体" w:hAnsi="黑体" w:eastAsia="黑体"/>
        </w:rPr>
        <w:t>登陆系统</w:t>
      </w:r>
    </w:p>
    <w:p>
      <w:pPr>
        <w:spacing w:line="360" w:lineRule="auto"/>
        <w:rPr>
          <w:rFonts w:hint="eastAsia" w:ascii="仿宋_GB2312" w:eastAsia="仿宋_GB2312"/>
          <w:sz w:val="30"/>
          <w:szCs w:val="30"/>
          <w:highlight w:val="yellow"/>
        </w:rPr>
      </w:pPr>
      <w:r>
        <w:rPr>
          <w:rFonts w:hint="eastAsia" w:ascii="仿宋_GB2312" w:eastAsia="仿宋_GB2312"/>
          <w:sz w:val="30"/>
          <w:szCs w:val="30"/>
          <w:highlight w:val="yellow"/>
        </w:rPr>
        <w:t>选择浏览器优先使用360浏览器（极速模式）、火狐、google、猎豹浏览器（极速模式），不建议使用搜狗、IE浏览器。</w:t>
      </w:r>
      <w:bookmarkStart w:id="0" w:name="_GoBack"/>
      <w:bookmarkEnd w:id="0"/>
    </w:p>
    <w:p>
      <w:pPr>
        <w:spacing w:line="360" w:lineRule="auto"/>
        <w:rPr>
          <w:rFonts w:ascii="仿宋_GB2312" w:eastAsia="仿宋_GB2312"/>
          <w:sz w:val="30"/>
          <w:szCs w:val="30"/>
        </w:rPr>
      </w:pPr>
      <w:r>
        <w:rPr>
          <w:rFonts w:hint="eastAsia" w:ascii="仿宋_GB2312" w:eastAsia="仿宋_GB2312"/>
          <w:sz w:val="30"/>
          <w:szCs w:val="30"/>
        </w:rPr>
        <w:t>访问地址：http://xgx</w:t>
      </w:r>
      <w:r>
        <w:rPr>
          <w:rFonts w:ascii="仿宋_GB2312" w:eastAsia="仿宋_GB2312"/>
          <w:sz w:val="30"/>
          <w:szCs w:val="30"/>
        </w:rPr>
        <w:t>t</w:t>
      </w:r>
      <w:r>
        <w:rPr>
          <w:rFonts w:hint="eastAsia" w:ascii="仿宋_GB2312" w:eastAsia="仿宋_GB2312"/>
          <w:sz w:val="30"/>
          <w:szCs w:val="30"/>
        </w:rPr>
        <w:t>.scau.edu.cn/zhcp（综合测评能模块）</w:t>
      </w:r>
    </w:p>
    <w:p>
      <w:pPr>
        <w:spacing w:line="360" w:lineRule="auto"/>
        <w:rPr>
          <w:rFonts w:ascii="仿宋_GB2312" w:eastAsia="仿宋_GB2312"/>
          <w:sz w:val="30"/>
          <w:szCs w:val="30"/>
        </w:rPr>
      </w:pPr>
      <w:r>
        <w:rPr>
          <w:rFonts w:hint="eastAsia" w:ascii="仿宋_GB2312" w:eastAsia="仿宋_GB2312"/>
          <w:sz w:val="30"/>
          <w:szCs w:val="30"/>
        </w:rPr>
        <w:t>账号：学号</w:t>
      </w:r>
    </w:p>
    <w:p>
      <w:pPr>
        <w:spacing w:line="360" w:lineRule="auto"/>
        <w:rPr>
          <w:rFonts w:ascii="仿宋_GB2312" w:eastAsia="仿宋_GB2312"/>
          <w:sz w:val="30"/>
          <w:szCs w:val="30"/>
        </w:rPr>
      </w:pPr>
      <w:r>
        <w:rPr>
          <w:rFonts w:hint="eastAsia" w:ascii="仿宋_GB2312" w:eastAsia="仿宋_GB2312"/>
          <w:sz w:val="30"/>
          <w:szCs w:val="30"/>
        </w:rPr>
        <w:t>密码：身份证后六位</w:t>
      </w:r>
      <w:r>
        <w:rPr>
          <w:rFonts w:hint="eastAsia" w:ascii="仿宋_GB2312" w:eastAsia="仿宋_GB2312"/>
          <w:b/>
          <w:bCs/>
          <w:color w:val="FF0000"/>
          <w:sz w:val="30"/>
          <w:szCs w:val="30"/>
        </w:rPr>
        <w:t>（港澳台学生默认是1</w:t>
      </w:r>
      <w:r>
        <w:rPr>
          <w:rFonts w:ascii="仿宋_GB2312" w:eastAsia="仿宋_GB2312"/>
          <w:b/>
          <w:bCs/>
          <w:color w:val="FF0000"/>
          <w:sz w:val="30"/>
          <w:szCs w:val="30"/>
        </w:rPr>
        <w:t>23456</w:t>
      </w:r>
      <w:r>
        <w:rPr>
          <w:rFonts w:hint="eastAsia" w:ascii="仿宋_GB2312" w:eastAsia="仿宋_GB2312"/>
          <w:b/>
          <w:bCs/>
          <w:color w:val="FF0000"/>
          <w:sz w:val="30"/>
          <w:szCs w:val="30"/>
        </w:rPr>
        <w:t>）</w:t>
      </w:r>
    </w:p>
    <w:p>
      <w:pPr>
        <w:pStyle w:val="3"/>
        <w:adjustRightInd w:val="0"/>
        <w:snapToGrid w:val="0"/>
        <w:spacing w:before="0" w:after="0" w:line="600" w:lineRule="exact"/>
        <w:rPr>
          <w:rFonts w:ascii="黑体" w:hAnsi="黑体" w:eastAsia="黑体"/>
        </w:rPr>
      </w:pPr>
      <w:r>
        <w:rPr>
          <w:rFonts w:hint="eastAsia" w:ascii="黑体" w:hAnsi="黑体" w:eastAsia="黑体"/>
        </w:rPr>
        <w:t>二、完成综合测评互评和自评工作</w:t>
      </w:r>
    </w:p>
    <w:p>
      <w:pPr>
        <w:spacing w:line="360" w:lineRule="auto"/>
        <w:ind w:firstLine="600" w:firstLineChars="200"/>
        <w:rPr>
          <w:rFonts w:ascii="仿宋_GB2312" w:eastAsia="仿宋_GB2312"/>
          <w:sz w:val="30"/>
          <w:szCs w:val="30"/>
        </w:rPr>
      </w:pPr>
      <w:r>
        <w:rPr>
          <w:rFonts w:hint="eastAsia" w:ascii="仿宋_GB2312" w:eastAsia="仿宋_GB2312"/>
          <w:sz w:val="30"/>
          <w:szCs w:val="30"/>
        </w:rPr>
        <w:t>登陆 http://xg</w:t>
      </w:r>
      <w:r>
        <w:rPr>
          <w:rFonts w:ascii="仿宋_GB2312" w:eastAsia="仿宋_GB2312"/>
          <w:sz w:val="30"/>
          <w:szCs w:val="30"/>
        </w:rPr>
        <w:t>xt</w:t>
      </w:r>
      <w:r>
        <w:rPr>
          <w:rFonts w:hint="eastAsia" w:ascii="仿宋_GB2312" w:eastAsia="仿宋_GB2312"/>
          <w:sz w:val="30"/>
          <w:szCs w:val="30"/>
        </w:rPr>
        <w:t>.scau.edu.cn/zhcp（综合测评能模块）以农学院某班曾同学为例，如下图所示：</w:t>
      </w:r>
    </w:p>
    <w:p>
      <w:pPr>
        <w:spacing w:line="360" w:lineRule="auto"/>
        <w:ind w:firstLine="600" w:firstLineChars="200"/>
        <w:rPr>
          <w:rFonts w:ascii="仿宋_GB2312" w:eastAsia="仿宋_GB2312"/>
          <w:sz w:val="30"/>
          <w:szCs w:val="30"/>
        </w:rPr>
      </w:pPr>
      <w:r>
        <w:rPr>
          <w:rFonts w:hint="eastAsia" w:ascii="仿宋_GB2312" w:eastAsia="仿宋_GB2312"/>
          <w:sz w:val="30"/>
          <w:szCs w:val="30"/>
        </w:rPr>
        <w:t>成功登陆后的菜单界面如下图所示：</w:t>
      </w:r>
    </w:p>
    <w:p>
      <w:pPr>
        <w:spacing w:line="360" w:lineRule="auto"/>
        <w:rPr>
          <w:rFonts w:ascii="仿宋_GB2312" w:eastAsia="仿宋_GB2312"/>
          <w:sz w:val="30"/>
          <w:szCs w:val="30"/>
        </w:rPr>
      </w:pPr>
      <w:r>
        <w:rPr>
          <w:rFonts w:hint="eastAsia" w:ascii="仿宋_GB2312" w:eastAsia="仿宋_GB2312"/>
          <w:sz w:val="30"/>
          <w:szCs w:val="30"/>
        </w:rPr>
        <w:drawing>
          <wp:inline distT="0" distB="0" distL="0" distR="0">
            <wp:extent cx="5274310" cy="2548890"/>
            <wp:effectExtent l="0" t="0" r="254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4310" cy="2548890"/>
                    </a:xfrm>
                    <a:prstGeom prst="rect">
                      <a:avLst/>
                    </a:prstGeom>
                  </pic:spPr>
                </pic:pic>
              </a:graphicData>
            </a:graphic>
          </wp:inline>
        </w:drawing>
      </w:r>
    </w:p>
    <w:p>
      <w:pPr>
        <w:spacing w:line="360" w:lineRule="auto"/>
        <w:ind w:firstLine="600" w:firstLineChars="200"/>
        <w:rPr>
          <w:rFonts w:ascii="仿宋_GB2312" w:eastAsia="仿宋_GB2312"/>
          <w:sz w:val="30"/>
          <w:szCs w:val="30"/>
        </w:rPr>
      </w:pPr>
      <w:r>
        <w:rPr>
          <w:rFonts w:hint="eastAsia" w:ascii="仿宋_GB2312" w:eastAsia="仿宋_GB2312"/>
          <w:sz w:val="30"/>
          <w:szCs w:val="30"/>
        </w:rPr>
        <w:t>（如果看到上图互评打分按钮为灰色，是因为该班班主任还未开启班级互评工作）。</w:t>
      </w:r>
    </w:p>
    <w:p>
      <w:pPr>
        <w:spacing w:line="360" w:lineRule="auto"/>
        <w:rPr>
          <w:rFonts w:ascii="仿宋_GB2312" w:eastAsia="仿宋_GB2312"/>
          <w:sz w:val="30"/>
          <w:szCs w:val="30"/>
        </w:rPr>
      </w:pPr>
      <w:r>
        <w:rPr>
          <w:rFonts w:hint="eastAsia" w:ascii="仿宋_GB2312" w:eastAsia="仿宋_GB2312"/>
          <w:sz w:val="30"/>
          <w:szCs w:val="30"/>
        </w:rPr>
        <w:drawing>
          <wp:inline distT="0" distB="0" distL="0" distR="0">
            <wp:extent cx="5274310" cy="2626995"/>
            <wp:effectExtent l="0" t="0" r="2540" b="190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274310" cy="2626995"/>
                    </a:xfrm>
                    <a:prstGeom prst="rect">
                      <a:avLst/>
                    </a:prstGeom>
                  </pic:spPr>
                </pic:pic>
              </a:graphicData>
            </a:graphic>
          </wp:inline>
        </w:drawing>
      </w:r>
    </w:p>
    <w:p>
      <w:pPr>
        <w:spacing w:line="360" w:lineRule="auto"/>
        <w:ind w:firstLine="600" w:firstLineChars="200"/>
        <w:rPr>
          <w:rFonts w:ascii="仿宋_GB2312" w:eastAsia="仿宋_GB2312"/>
          <w:sz w:val="30"/>
          <w:szCs w:val="30"/>
        </w:rPr>
      </w:pPr>
      <w:r>
        <w:rPr>
          <w:rFonts w:hint="eastAsia" w:ascii="仿宋_GB2312" w:eastAsia="仿宋_GB2312"/>
          <w:sz w:val="30"/>
          <w:szCs w:val="30"/>
        </w:rPr>
        <w:t>上图界面即为班主任开启互评工作的正常互评打分界面，会显示班级互评的起止时间等信息，请在规定时间完成。</w:t>
      </w:r>
    </w:p>
    <w:p>
      <w:pPr>
        <w:spacing w:line="360" w:lineRule="auto"/>
        <w:rPr>
          <w:rFonts w:ascii="仿宋_GB2312" w:eastAsia="仿宋_GB2312"/>
          <w:sz w:val="30"/>
          <w:szCs w:val="30"/>
        </w:rPr>
      </w:pPr>
      <w:r>
        <w:rPr>
          <w:rFonts w:hint="eastAsia" w:ascii="仿宋_GB2312" w:eastAsia="仿宋_GB2312"/>
          <w:sz w:val="30"/>
          <w:szCs w:val="30"/>
        </w:rPr>
        <w:drawing>
          <wp:inline distT="0" distB="0" distL="0" distR="0">
            <wp:extent cx="5274310" cy="2736215"/>
            <wp:effectExtent l="0" t="0" r="254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6"/>
                    <a:stretch>
                      <a:fillRect/>
                    </a:stretch>
                  </pic:blipFill>
                  <pic:spPr>
                    <a:xfrm>
                      <a:off x="0" y="0"/>
                      <a:ext cx="5274310" cy="2736215"/>
                    </a:xfrm>
                    <a:prstGeom prst="rect">
                      <a:avLst/>
                    </a:prstGeom>
                  </pic:spPr>
                </pic:pic>
              </a:graphicData>
            </a:graphic>
          </wp:inline>
        </w:drawing>
      </w:r>
    </w:p>
    <w:p>
      <w:pPr>
        <w:spacing w:line="360" w:lineRule="auto"/>
        <w:rPr>
          <w:rFonts w:ascii="仿宋_GB2312" w:eastAsia="仿宋_GB2312"/>
          <w:sz w:val="30"/>
          <w:szCs w:val="30"/>
        </w:rPr>
      </w:pPr>
    </w:p>
    <w:p>
      <w:pPr>
        <w:spacing w:line="360" w:lineRule="auto"/>
        <w:rPr>
          <w:rFonts w:ascii="仿宋_GB2312" w:eastAsia="仿宋_GB2312"/>
          <w:sz w:val="30"/>
          <w:szCs w:val="30"/>
        </w:rPr>
      </w:pPr>
    </w:p>
    <w:p>
      <w:pPr>
        <w:spacing w:line="360" w:lineRule="auto"/>
        <w:rPr>
          <w:rFonts w:ascii="仿宋_GB2312" w:eastAsia="仿宋_GB2312"/>
          <w:sz w:val="30"/>
          <w:szCs w:val="30"/>
        </w:rPr>
      </w:pPr>
    </w:p>
    <w:p>
      <w:pPr>
        <w:spacing w:line="360" w:lineRule="auto"/>
        <w:rPr>
          <w:rFonts w:ascii="仿宋_GB2312" w:eastAsia="仿宋_GB2312"/>
          <w:sz w:val="30"/>
          <w:szCs w:val="30"/>
        </w:rPr>
      </w:pPr>
    </w:p>
    <w:p>
      <w:pPr>
        <w:spacing w:line="360" w:lineRule="auto"/>
        <w:rPr>
          <w:rFonts w:ascii="仿宋_GB2312" w:eastAsia="仿宋_GB2312"/>
          <w:sz w:val="30"/>
          <w:szCs w:val="30"/>
        </w:rPr>
      </w:pPr>
    </w:p>
    <w:p>
      <w:pPr>
        <w:spacing w:line="360" w:lineRule="auto"/>
        <w:rPr>
          <w:rFonts w:ascii="仿宋_GB2312" w:eastAsia="仿宋_GB2312"/>
          <w:sz w:val="30"/>
          <w:szCs w:val="30"/>
        </w:rPr>
      </w:pPr>
    </w:p>
    <w:p>
      <w:pPr>
        <w:spacing w:line="360" w:lineRule="auto"/>
        <w:ind w:firstLine="600" w:firstLineChars="200"/>
        <w:rPr>
          <w:rFonts w:ascii="仿宋_GB2312" w:eastAsia="仿宋_GB2312"/>
          <w:sz w:val="30"/>
          <w:szCs w:val="30"/>
        </w:rPr>
      </w:pPr>
      <w:r>
        <w:rPr>
          <w:rFonts w:hint="eastAsia" w:ascii="仿宋_GB2312" w:eastAsia="仿宋_GB2312"/>
          <w:sz w:val="30"/>
          <w:szCs w:val="30"/>
        </w:rPr>
        <w:t>自评界面如下图所示：</w:t>
      </w:r>
    </w:p>
    <w:p>
      <w:pPr>
        <w:spacing w:line="360" w:lineRule="auto"/>
        <w:rPr>
          <w:rFonts w:ascii="仿宋_GB2312" w:eastAsia="仿宋_GB2312"/>
          <w:sz w:val="30"/>
          <w:szCs w:val="30"/>
        </w:rPr>
      </w:pPr>
      <w:r>
        <w:rPr>
          <w:rFonts w:hint="eastAsia" w:ascii="仿宋_GB2312" w:eastAsia="仿宋_GB2312"/>
          <w:sz w:val="30"/>
          <w:szCs w:val="30"/>
        </w:rPr>
        <w:drawing>
          <wp:inline distT="0" distB="0" distL="0" distR="0">
            <wp:extent cx="5274310" cy="2841625"/>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pic:cNvPicPr>
                  </pic:nvPicPr>
                  <pic:blipFill>
                    <a:blip r:embed="rId7"/>
                    <a:stretch>
                      <a:fillRect/>
                    </a:stretch>
                  </pic:blipFill>
                  <pic:spPr>
                    <a:xfrm>
                      <a:off x="0" y="0"/>
                      <a:ext cx="5274310" cy="2841625"/>
                    </a:xfrm>
                    <a:prstGeom prst="rect">
                      <a:avLst/>
                    </a:prstGeom>
                  </pic:spPr>
                </pic:pic>
              </a:graphicData>
            </a:graphic>
          </wp:inline>
        </w:drawing>
      </w:r>
    </w:p>
    <w:p>
      <w:pPr>
        <w:spacing w:line="360" w:lineRule="auto"/>
        <w:rPr>
          <w:rFonts w:ascii="仿宋_GB2312" w:eastAsia="仿宋_GB2312"/>
          <w:sz w:val="30"/>
          <w:szCs w:val="30"/>
        </w:rPr>
      </w:pPr>
    </w:p>
    <w:p>
      <w:pPr>
        <w:spacing w:line="360" w:lineRule="auto"/>
        <w:ind w:firstLine="600" w:firstLineChars="200"/>
        <w:rPr>
          <w:rFonts w:ascii="仿宋_GB2312" w:eastAsia="仿宋_GB2312"/>
          <w:sz w:val="30"/>
          <w:szCs w:val="30"/>
        </w:rPr>
      </w:pPr>
      <w:r>
        <w:rPr>
          <w:rFonts w:hint="eastAsia" w:ascii="仿宋_GB2312" w:eastAsia="仿宋_GB2312"/>
          <w:sz w:val="30"/>
          <w:szCs w:val="30"/>
        </w:rPr>
        <w:t>关于班级互评和自评，在此说明一下，这两者没有严格的先后顺序，在班主任未开启互评工作的情况下，同学们仍然可以先完成自评打分以及佐证材料上传，点击“保存”按钮先保存数据。（在互评工作没完成的情况下，点击自评的“提交”按钮，会弹出提示信息要完成互评才能予以提交成功。</w:t>
      </w:r>
      <w:r>
        <w:rPr>
          <w:rFonts w:hint="eastAsia" w:ascii="仿宋_GB2312" w:eastAsia="仿宋_GB2312"/>
          <w:color w:val="FF0000"/>
          <w:sz w:val="30"/>
          <w:szCs w:val="30"/>
        </w:rPr>
        <w:t>因此，也是建议同学们登陆系统第一件事就是先完成自己的自评打分和佐证材料上传工作，予以</w:t>
      </w:r>
      <w:r>
        <w:rPr>
          <w:rFonts w:hint="eastAsia" w:ascii="仿宋_GB2312" w:eastAsia="仿宋_GB2312"/>
          <w:b/>
          <w:bCs/>
          <w:color w:val="FF0000"/>
          <w:sz w:val="30"/>
          <w:szCs w:val="30"/>
          <w:u w:val="single"/>
        </w:rPr>
        <w:t>保存</w:t>
      </w:r>
      <w:r>
        <w:rPr>
          <w:rFonts w:hint="eastAsia" w:ascii="仿宋_GB2312" w:eastAsia="仿宋_GB2312"/>
          <w:color w:val="FF0000"/>
          <w:sz w:val="30"/>
          <w:szCs w:val="30"/>
        </w:rPr>
        <w:t>好。</w:t>
      </w:r>
      <w:r>
        <w:rPr>
          <w:rFonts w:hint="eastAsia" w:ascii="仿宋_GB2312" w:eastAsia="仿宋_GB2312"/>
          <w:sz w:val="30"/>
          <w:szCs w:val="30"/>
        </w:rPr>
        <w:t>）  如下图所示：</w:t>
      </w:r>
    </w:p>
    <w:p>
      <w:pPr>
        <w:spacing w:line="360" w:lineRule="auto"/>
        <w:rPr>
          <w:rFonts w:ascii="仿宋_GB2312" w:eastAsia="仿宋_GB2312"/>
          <w:sz w:val="30"/>
          <w:szCs w:val="30"/>
        </w:rPr>
      </w:pPr>
      <w:r>
        <w:rPr>
          <w:rFonts w:hint="eastAsia" w:ascii="仿宋_GB2312" w:eastAsia="仿宋_GB2312"/>
          <w:sz w:val="30"/>
          <w:szCs w:val="30"/>
        </w:rPr>
        <w:drawing>
          <wp:inline distT="0" distB="0" distL="114300" distR="114300">
            <wp:extent cx="5266690" cy="2861310"/>
            <wp:effectExtent l="0" t="0" r="10160" b="152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8"/>
                    <a:stretch>
                      <a:fillRect/>
                    </a:stretch>
                  </pic:blipFill>
                  <pic:spPr>
                    <a:xfrm>
                      <a:off x="0" y="0"/>
                      <a:ext cx="5266690" cy="2861310"/>
                    </a:xfrm>
                    <a:prstGeom prst="rect">
                      <a:avLst/>
                    </a:prstGeom>
                    <a:noFill/>
                    <a:ln>
                      <a:noFill/>
                    </a:ln>
                  </pic:spPr>
                </pic:pic>
              </a:graphicData>
            </a:graphic>
          </wp:inline>
        </w:drawing>
      </w:r>
    </w:p>
    <w:p>
      <w:pPr>
        <w:spacing w:line="360" w:lineRule="auto"/>
        <w:ind w:firstLine="420" w:firstLineChars="200"/>
        <w:jc w:val="center"/>
        <w:rPr>
          <w:rFonts w:ascii="仿宋_GB2312" w:hAnsi="仿宋" w:eastAsia="仿宋_GB2312"/>
          <w:b/>
          <w:bCs/>
          <w:color w:val="FF0000"/>
          <w:sz w:val="30"/>
          <w:szCs w:val="30"/>
        </w:rPr>
      </w:pPr>
      <w:r>
        <w:drawing>
          <wp:inline distT="0" distB="0" distL="0" distR="0">
            <wp:extent cx="4092575" cy="4074795"/>
            <wp:effectExtent l="0" t="0" r="3175" b="190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4104318" cy="4086035"/>
                    </a:xfrm>
                    <a:prstGeom prst="rect">
                      <a:avLst/>
                    </a:prstGeom>
                  </pic:spPr>
                </pic:pic>
              </a:graphicData>
            </a:graphic>
          </wp:inline>
        </w:drawing>
      </w:r>
    </w:p>
    <w:p>
      <w:pPr>
        <w:spacing w:line="360" w:lineRule="auto"/>
        <w:ind w:firstLine="601" w:firstLineChars="200"/>
        <w:rPr>
          <w:rFonts w:ascii="仿宋_GB2312" w:eastAsia="仿宋_GB2312"/>
          <w:b/>
          <w:bCs/>
          <w:color w:val="FF0000"/>
          <w:sz w:val="30"/>
          <w:szCs w:val="30"/>
        </w:rPr>
      </w:pPr>
      <w:r>
        <w:rPr>
          <w:rFonts w:hint="eastAsia" w:ascii="仿宋_GB2312" w:hAnsi="仿宋" w:eastAsia="仿宋_GB2312"/>
          <w:b/>
          <w:bCs/>
          <w:color w:val="FF0000"/>
          <w:sz w:val="30"/>
          <w:szCs w:val="30"/>
        </w:rPr>
        <w:t>备注：奖项名称要详细填写清楚，分数要确认准确，特殊情况要备注清楚，证明材料上传格式一般为jpg、png图片格式，特殊情况可以上传pdf或者word，材料要以具体的名称命名再上传。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altName w:val="汉仪书宋二KW"/>
    <w:panose1 w:val="02000000000000000000"/>
    <w:charset w:val="86"/>
    <w:family w:val="auto"/>
    <w:pitch w:val="default"/>
    <w:sig w:usb0="00000001" w:usb1="08000000" w:usb2="00000000" w:usb3="00000000" w:csb0="00040000"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 w:name="等线">
    <w:altName w:val="汉仪中等线KW"/>
    <w:panose1 w:val="02010600030101010101"/>
    <w:charset w:val="86"/>
    <w:family w:val="auto"/>
    <w:pitch w:val="default"/>
    <w:sig w:usb0="00000000" w:usb1="00000000" w:usb2="00000016" w:usb3="00000000" w:csb0="0004000F" w:csb1="00000000"/>
  </w:font>
  <w:font w:name="等线 Light">
    <w:altName w:val="汉仪中等线KW"/>
    <w:panose1 w:val="02010600030101010101"/>
    <w:charset w:val="86"/>
    <w:family w:val="auto"/>
    <w:pitch w:val="default"/>
    <w:sig w:usb0="00000000" w:usb1="00000000" w:usb2="00000016" w:usb3="00000000" w:csb0="0004000F" w:csb1="00000000"/>
  </w:font>
  <w:font w:name="方正小标宋简体">
    <w:altName w:val="汉仪书宋二KW"/>
    <w:panose1 w:val="02010601030101010101"/>
    <w:charset w:val="86"/>
    <w:family w:val="auto"/>
    <w:pitch w:val="default"/>
    <w:sig w:usb0="00000000" w:usb1="00000000" w:usb2="00000010" w:usb3="00000000" w:csb0="00040000" w:csb1="00000000"/>
  </w:font>
  <w:font w:name="黑体">
    <w:altName w:val="汉仪中黑KW"/>
    <w:panose1 w:val="02010609060101010101"/>
    <w:charset w:val="86"/>
    <w:family w:val="modern"/>
    <w:pitch w:val="default"/>
    <w:sig w:usb0="00000000" w:usb1="00000000" w:usb2="00000016" w:usb3="00000000" w:csb0="00040001" w:csb1="00000000"/>
  </w:font>
  <w:font w:name="仿宋_GB2312">
    <w:altName w:val="汉仪仿宋KW"/>
    <w:panose1 w:val="02010609030101010101"/>
    <w:charset w:val="86"/>
    <w:family w:val="modern"/>
    <w:pitch w:val="default"/>
    <w:sig w:usb0="00000000" w:usb1="00000000" w:usb2="00000010" w:usb3="00000000" w:csb0="00040000" w:csb1="00000000"/>
  </w:font>
  <w:font w:name="仿宋">
    <w:altName w:val="汉仪仿宋KW"/>
    <w:panose1 w:val="02010609060101010101"/>
    <w:charset w:val="86"/>
    <w:family w:val="modern"/>
    <w:pitch w:val="default"/>
    <w:sig w:usb0="00000000" w:usb1="00000000" w:usb2="00000016" w:usb3="00000000" w:csb0="00040001" w:csb1="00000000"/>
  </w:font>
  <w:font w:name="等线">
    <w:altName w:val="汉仪中等线KW"/>
    <w:panose1 w:val="00000000000000000000"/>
    <w:charset w:val="86"/>
    <w:family w:val="auto"/>
    <w:pitch w:val="default"/>
    <w:sig w:usb0="00000000" w:usb1="00000000" w:usb2="00000000" w:usb3="00000000" w:csb0="00000000" w:csb1="00000000"/>
  </w:font>
  <w:font w:name="等线">
    <w:altName w:val="汉仪中等线KW"/>
    <w:panose1 w:val="00000000000000000000"/>
    <w:charset w:val="00"/>
    <w:family w:val="auto"/>
    <w:pitch w:val="default"/>
    <w:sig w:usb0="00000000" w:usb1="00000000" w:usb2="00000000" w:usb3="00000000" w:csb0="00000000" w:csb1="00000000"/>
  </w:font>
  <w:font w:name="汉仪中等线KW">
    <w:panose1 w:val="01010104010101010101"/>
    <w:charset w:val="86"/>
    <w:family w:val="auto"/>
    <w:pitch w:val="default"/>
    <w:sig w:usb0="800002BF" w:usb1="004F7CFA" w:usb2="00000000" w:usb3="00000000" w:csb0="00040001" w:csb1="00000000"/>
  </w:font>
  <w:font w:name="汉仪中黑KW">
    <w:panose1 w:val="00020600040101010101"/>
    <w:charset w:val="86"/>
    <w:family w:val="auto"/>
    <w:pitch w:val="default"/>
    <w:sig w:usb0="A00002BF" w:usb1="18EF7CFA" w:usb2="00000016" w:usb3="00000000" w:csb0="00040000" w:csb1="00000000"/>
  </w:font>
  <w:font w:name="汉仪仿宋KW">
    <w:panose1 w:val="00020600040101010101"/>
    <w:charset w:val="86"/>
    <w:family w:val="auto"/>
    <w:pitch w:val="default"/>
    <w:sig w:usb0="A00002BF" w:usb1="18EF7CFA" w:usb2="00000016" w:usb3="00000000" w:csb0="00040000" w:csb1="00000000"/>
  </w:font>
  <w:font w:name="等线 Light">
    <w:altName w:val="汉仪中等线KW"/>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5C989B"/>
    <w:multiLevelType w:val="singleLevel"/>
    <w:tmpl w:val="5F5C989B"/>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4B27"/>
    <w:rsid w:val="00077C80"/>
    <w:rsid w:val="000B20A8"/>
    <w:rsid w:val="002C2797"/>
    <w:rsid w:val="00382EFF"/>
    <w:rsid w:val="004B568E"/>
    <w:rsid w:val="005A0833"/>
    <w:rsid w:val="00695119"/>
    <w:rsid w:val="006A2FF9"/>
    <w:rsid w:val="0087118E"/>
    <w:rsid w:val="00884B27"/>
    <w:rsid w:val="0093213D"/>
    <w:rsid w:val="009460BF"/>
    <w:rsid w:val="00A52289"/>
    <w:rsid w:val="00B015AC"/>
    <w:rsid w:val="00B456CF"/>
    <w:rsid w:val="00E50E81"/>
    <w:rsid w:val="00E604FE"/>
    <w:rsid w:val="00E624E5"/>
    <w:rsid w:val="00FA22C5"/>
    <w:rsid w:val="07191698"/>
    <w:rsid w:val="1AD37CBD"/>
    <w:rsid w:val="1C6D2628"/>
    <w:rsid w:val="2AB62C9A"/>
    <w:rsid w:val="3D711726"/>
    <w:rsid w:val="4DB131C1"/>
    <w:rsid w:val="65441B70"/>
    <w:rsid w:val="78570945"/>
    <w:rsid w:val="79E96C48"/>
    <w:rsid w:val="7DDF16F3"/>
    <w:rsid w:val="7FD74ADF"/>
    <w:rsid w:val="DF992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6">
    <w:name w:val="Default Paragraph Font"/>
    <w:unhideWhenUsed/>
    <w:uiPriority w:val="1"/>
  </w:style>
  <w:style w:type="table" w:default="1" w:styleId="8">
    <w:name w:val="Normal Table"/>
    <w:unhideWhenUsed/>
    <w:uiPriority w:val="99"/>
    <w:tblPr>
      <w:tblLayout w:type="fixed"/>
      <w:tblCellMar>
        <w:top w:w="0" w:type="dxa"/>
        <w:left w:w="108" w:type="dxa"/>
        <w:bottom w:w="0" w:type="dxa"/>
        <w:right w:w="108" w:type="dxa"/>
      </w:tblCellMar>
    </w:tbl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Hyperlink"/>
    <w:basedOn w:val="6"/>
    <w:unhideWhenUsed/>
    <w:uiPriority w:val="99"/>
    <w:rPr>
      <w:color w:val="0563C1" w:themeColor="hyperlink"/>
      <w:u w:val="single"/>
      <w14:textFill>
        <w14:solidFill>
          <w14:schemeClr w14:val="hlink"/>
        </w14:solidFill>
      </w14:textFill>
    </w:rPr>
  </w:style>
  <w:style w:type="character" w:customStyle="1" w:styleId="9">
    <w:name w:val="页眉 字符"/>
    <w:basedOn w:val="6"/>
    <w:link w:val="5"/>
    <w:qFormat/>
    <w:uiPriority w:val="99"/>
    <w:rPr>
      <w:sz w:val="18"/>
      <w:szCs w:val="18"/>
    </w:rPr>
  </w:style>
  <w:style w:type="character" w:customStyle="1" w:styleId="10">
    <w:name w:val="页脚 字符"/>
    <w:basedOn w:val="6"/>
    <w:link w:val="4"/>
    <w:uiPriority w:val="99"/>
    <w:rPr>
      <w:sz w:val="18"/>
      <w:szCs w:val="18"/>
    </w:rPr>
  </w:style>
  <w:style w:type="character" w:customStyle="1" w:styleId="11">
    <w:name w:val="标题 1 字符"/>
    <w:basedOn w:val="6"/>
    <w:link w:val="2"/>
    <w:uiPriority w:val="9"/>
    <w:rPr>
      <w:b/>
      <w:bCs/>
      <w:kern w:val="44"/>
      <w:sz w:val="44"/>
      <w:szCs w:val="44"/>
    </w:rPr>
  </w:style>
  <w:style w:type="character" w:customStyle="1" w:styleId="12">
    <w:name w:val="标题 2 字符"/>
    <w:basedOn w:val="6"/>
    <w:link w:val="3"/>
    <w:qFormat/>
    <w:uiPriority w:val="9"/>
    <w:rPr>
      <w:rFonts w:asciiTheme="majorHAnsi" w:hAnsiTheme="majorHAnsi" w:eastAsiaTheme="majorEastAsia" w:cstheme="majorBidi"/>
      <w:b/>
      <w:bCs/>
      <w:sz w:val="32"/>
      <w:szCs w:val="32"/>
    </w:rPr>
  </w:style>
  <w:style w:type="character" w:customStyle="1" w:styleId="13">
    <w:name w:val="未处理的提及1"/>
    <w:basedOn w:val="6"/>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87</Words>
  <Characters>497</Characters>
  <Lines>4</Lines>
  <Paragraphs>1</Paragraphs>
  <TotalTime>0</TotalTime>
  <ScaleCrop>false</ScaleCrop>
  <LinksUpToDate>false</LinksUpToDate>
  <CharactersWithSpaces>583</CharactersWithSpaces>
  <Application>WPS Office_1.0.1.1354_F1E327BC-269C-435d-A152-05C5408002CA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2020-03-23T14:33:00Z</dcterms:created>
  <dc:creator>李少娟</dc:creator>
  <cp:lastModifiedBy>lseliangchen</cp:lastModifiedBy>
  <dcterms:modified xsi:type="dcterms:W3CDTF">2020-09-12T17:26:56Z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2052-1.0.1.1354</vt:lpwstr>
  </property>
</Properties>
</file>